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6" w:before="0" w:after="0"/>
        <w:ind w:left="3015" w:right="424" w:hanging="1455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</w:rPr>
      </w:r>
    </w:p>
    <w:p>
      <w:pPr>
        <w:pStyle w:val="Normal"/>
        <w:spacing w:lineRule="auto" w:line="240" w:before="0" w:after="0"/>
        <w:ind w:left="3015" w:right="424" w:hanging="1455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42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Аналитическая справка </w:t>
      </w:r>
    </w:p>
    <w:p>
      <w:pPr>
        <w:pStyle w:val="Normal"/>
        <w:spacing w:lineRule="auto" w:line="240" w:before="0" w:after="0"/>
        <w:ind w:right="42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 итогам проведения школьного и муниципального этапов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left="10" w:right="7" w:hanging="1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всероссийской олимпиады школьников в 2020-2021 учебном году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" w:right="7" w:hanging="10"/>
        <w:jc w:val="center"/>
        <w:outlineLvl w:val="1"/>
        <w:rPr>
          <w:rFonts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Среди многочисленных приемов работы, ориентированных на интеллектуальное развитие школьников, особое место занимают предметные олимпиады.  Всероссийская олимпиада школьников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(ВсОШ)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— система ежегодных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предметных олимпиад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для обучающихся в образовательных организациях, реализующих общеобразовательные программы.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ab/>
        <w:t xml:space="preserve">Основными задачами школьного этапа ВсОШ являются: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мотивация обучающихся к изучению различных предметов;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оценка знаний и умений обучающихся по предметам;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выявление способных, талантливых обучающихся по отдельным предметам;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>
      <w:pPr>
        <w:pStyle w:val="Normal"/>
        <w:widowControl/>
        <w:numPr>
          <w:ilvl w:val="0"/>
          <w:numId w:val="0"/>
        </w:numPr>
        <w:tabs>
          <w:tab w:val="left" w:pos="284" w:leader="none"/>
          <w:tab w:val="right" w:pos="68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Чтобы подготовить детей к участию в олимпиадах, учителю необходимо проводить большую подготовительную работу, подбирать и выполнять различные задачи и задания олимпиадного типа, детально знакомиться с различными вопросами, с новинками литературы. Для подготовки школьников к олимпиадам следует осуществлять индивидуальный подход к каждому ученику и основной упор делать на самостоятельную работу обучающегося. </w:t>
      </w:r>
    </w:p>
    <w:p>
      <w:pPr>
        <w:pStyle w:val="PlainText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В 2020 -2021 учебном году школьный и муниципальный этапы ВсОШ был организованы 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S Mincho" w:cs="Times New Roman" w:ascii="Times New Roman" w:hAnsi="Times New Roman"/>
          <w:sz w:val="28"/>
          <w:szCs w:val="28"/>
        </w:rPr>
        <w:t>соответствии 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приказом министерства образования Саратовской области от 31.08.2020 №1244 "Об организации подготовки и проведения всероссийской олимпиады школьников на территории Саратовской области в 2020/2021 учебном году».</w:t>
      </w:r>
    </w:p>
    <w:p>
      <w:pPr>
        <w:pStyle w:val="PlainText"/>
        <w:spacing w:lineRule="auto" w:line="240" w:before="0" w:after="0"/>
        <w:jc w:val="both"/>
        <w:rPr/>
      </w:pPr>
      <w:r>
        <w:rPr>
          <w:rFonts w:eastAsia="MS Mincho" w:cs="Times New Roman" w:ascii="Times New Roman" w:hAnsi="Times New Roman"/>
          <w:sz w:val="28"/>
          <w:szCs w:val="28"/>
        </w:rPr>
        <w:tab/>
        <w:t xml:space="preserve">Для информирования учащихся, педагогов, родителей (законных представителей) обучающихся в МОУ «Татищевский лицей» оформлен информационный стенд с графиками проведения олимпиад, протоколами результатов и другой актуальной информацией. </w:t>
      </w:r>
    </w:p>
    <w:p>
      <w:pPr>
        <w:pStyle w:val="Normal"/>
        <w:shd w:val="clear" w:color="auto" w:fill="FFFFFF"/>
        <w:spacing w:lineRule="auto" w:line="240" w:before="0" w:after="0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графиком, утвержденным </w:t>
      </w:r>
      <w:r>
        <w:rPr>
          <w:rFonts w:eastAsia="MS Mincho" w:cs="Times New Roman" w:ascii="Times New Roman" w:hAnsi="Times New Roman"/>
          <w:sz w:val="28"/>
          <w:szCs w:val="28"/>
        </w:rPr>
        <w:t>министерства образования Саратовской области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школах района с 21.09.2020 по 24.10.2020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был проведен школьный этап всероссийской олимпиады школьников.  Муниципальный этап был проведен с 13.11.2020 по 20.12.2020.</w:t>
      </w:r>
    </w:p>
    <w:p>
      <w:pPr>
        <w:pStyle w:val="Normal"/>
        <w:spacing w:lineRule="auto" w:line="240" w:before="0" w:after="0"/>
        <w:ind w:left="-15" w:firstLine="69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Всего в школьном этапе олимпиады по 15 предметам приняли участие 192 школьника 4-11 классов (389 участий), в муниципальном этапе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73 ученика 4, 7-11 классов (102 участия). Мн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огие обучающиеся принимали участие в нескольких олимпиадах. Каждому участнику олимпиады было предоставлено отдельное рабочее место, оборудованное в соответствии с требованиями  по каждому общеобразовательному предмету. Все рабочие места участников олимпиады соответствовали действующим санитарно-эпидемиологическим правилам и нормам. </w:t>
      </w:r>
    </w:p>
    <w:p>
      <w:pPr>
        <w:pStyle w:val="Normal"/>
        <w:spacing w:lineRule="auto" w:line="240" w:before="0" w:after="0"/>
        <w:ind w:left="142" w:right="-1" w:firstLine="42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Для разработки заданий школьного этапа олимпиады были созданы муниципальные предметно-методические комиссии по каждому общеобразовательному предмету. В состав комиссий вошли 27 учителей лицея. Члены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комиссий составили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уровня, сформировали из них комплекты заданий для школьного этапа олимпиады с учётом методических рекомендаций, подготовленных региональными предметно-методическими комиссиями. В олимпиадных заданиях предусмотрена реализация межпредметных связей.  </w:t>
      </w:r>
    </w:p>
    <w:p>
      <w:pPr>
        <w:pStyle w:val="Normal"/>
        <w:spacing w:lineRule="auto" w:line="240" w:before="0" w:after="0"/>
        <w:ind w:left="142"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Задания муниципального этапа разрабатывались предметными комиссиями, утвержденными министерством образования Саратовской области. Проверка олимпиадных работ осуществлялась на базе МОУ «Татищевский лицей» членами жюри, в состав которого вошли 32 учителя МОУ «Татищевский лицей», по критериям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</w:p>
    <w:p>
      <w:pPr>
        <w:pStyle w:val="Normal"/>
        <w:spacing w:lineRule="auto" w:line="240" w:before="0" w:after="0"/>
        <w:ind w:firstLine="69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Таблица 1. Количество участников школьного этапа ВсОШ в разрезе предметов </w:t>
      </w:r>
    </w:p>
    <w:p>
      <w:pPr>
        <w:pStyle w:val="Normal"/>
        <w:spacing w:lineRule="auto" w:line="240" w:before="0" w:after="0"/>
        <w:ind w:firstLine="693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tbl>
      <w:tblPr>
        <w:tblStyle w:val="TableGrid"/>
        <w:tblW w:w="14542" w:type="dxa"/>
        <w:jc w:val="left"/>
        <w:tblInd w:w="2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1" w:type="dxa"/>
          <w:left w:w="96" w:type="dxa"/>
          <w:bottom w:w="8" w:type="dxa"/>
          <w:right w:w="48" w:type="dxa"/>
        </w:tblCellMar>
        <w:tblLook w:val="04a0"/>
      </w:tblPr>
      <w:tblGrid>
        <w:gridCol w:w="740"/>
        <w:gridCol w:w="2659"/>
        <w:gridCol w:w="1241"/>
        <w:gridCol w:w="1140"/>
        <w:gridCol w:w="1200"/>
        <w:gridCol w:w="1179"/>
        <w:gridCol w:w="1261"/>
        <w:gridCol w:w="1179"/>
        <w:gridCol w:w="1300"/>
        <w:gridCol w:w="1190"/>
        <w:gridCol w:w="1451"/>
      </w:tblGrid>
      <w:tr>
        <w:trPr>
          <w:trHeight w:val="354" w:hRule="atLeast"/>
        </w:trPr>
        <w:tc>
          <w:tcPr>
            <w:tcW w:w="7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114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Кол-во участников школьного этапа </w:t>
            </w:r>
          </w:p>
        </w:tc>
      </w:tr>
      <w:tr>
        <w:trPr>
          <w:trHeight w:val="763" w:hRule="atLeast"/>
        </w:trPr>
        <w:tc>
          <w:tcPr>
            <w:tcW w:w="7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4 кл.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5 кл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6 кл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7 кл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 кл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9 кл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10 кл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11 кл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>
        <w:trPr>
          <w:trHeight w:val="326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45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>
        <w:trPr>
          <w:trHeight w:val="327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>
        <w:trPr>
          <w:trHeight w:val="327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43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85</w:t>
            </w:r>
          </w:p>
        </w:tc>
      </w:tr>
      <w:tr>
        <w:trPr>
          <w:trHeight w:val="327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right="63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МХК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left="24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left="24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ОБЖ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left="24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Право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327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left="24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87</w:t>
            </w:r>
          </w:p>
        </w:tc>
      </w:tr>
      <w:tr>
        <w:trPr>
          <w:trHeight w:val="327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left="24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left="24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ind w:left="24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Экономика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389</w:t>
            </w:r>
          </w:p>
        </w:tc>
      </w:tr>
    </w:tbl>
    <w:p>
      <w:pPr>
        <w:pStyle w:val="Normal"/>
        <w:spacing w:lineRule="auto" w:line="240" w:before="0" w:after="0"/>
        <w:ind w:left="708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>
      <w:pPr>
        <w:pStyle w:val="Normal"/>
        <w:tabs>
          <w:tab w:val="left" w:pos="284" w:leader="none"/>
          <w:tab w:val="left" w:pos="709" w:leader="none"/>
        </w:tabs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- высокий процент участников школьного этапа ВсОШ отмечен по предметам: русский язык – 87 чел., математика – 85 чел., английский язык — 45 чел, литература 43 человека. 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- низкий процент участников школьного этапа ВсОШ отмечен по предметам: информатика — 5 чел., право — 4 чел, ОБЖ — 4 чел., экономика – 2 чел.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-  отсутствуют участники по следующим предметам: экология, физическая культура, технология.</w:t>
      </w:r>
    </w:p>
    <w:p>
      <w:pPr>
        <w:pStyle w:val="Normal"/>
        <w:spacing w:lineRule="auto" w:line="240" w:before="0" w:after="0"/>
        <w:ind w:left="-15" w:right="-12" w:firstLine="708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left="-15" w:right="-12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Таблица 2. Количество победителей и призеров школьного этапа ВсОШ :</w:t>
      </w:r>
    </w:p>
    <w:p>
      <w:pPr>
        <w:pStyle w:val="Normal"/>
        <w:spacing w:lineRule="auto" w:line="240" w:before="0" w:after="0"/>
        <w:ind w:left="-15" w:right="-12"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tbl>
      <w:tblPr>
        <w:tblW w:w="1485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970"/>
        <w:gridCol w:w="2971"/>
        <w:gridCol w:w="2971"/>
        <w:gridCol w:w="2971"/>
        <w:gridCol w:w="2971"/>
      </w:tblGrid>
      <w:tr>
        <w:trPr/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left="64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left="91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  <w:p>
            <w:pPr>
              <w:pStyle w:val="Normal"/>
              <w:spacing w:lineRule="auto" w:line="240" w:before="0" w:after="0"/>
              <w:ind w:left="27" w:right="47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победителей 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left="89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Количество призеров</w:t>
            </w:r>
          </w:p>
        </w:tc>
      </w:tr>
      <w:tr>
        <w:trPr/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2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2020-2021 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2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138 (35,5%) 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115</w:t>
            </w:r>
          </w:p>
        </w:tc>
      </w:tr>
      <w:tr>
        <w:trPr/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2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2019-2020 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2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 (36,7%)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</w:t>
            </w:r>
          </w:p>
        </w:tc>
      </w:tr>
      <w:tr>
        <w:trPr/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21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2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 (28,5%)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9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ind w:right="18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</w:tr>
    </w:tbl>
    <w:p>
      <w:pPr>
        <w:pStyle w:val="Normal"/>
        <w:spacing w:lineRule="auto" w:line="240" w:before="0" w:after="0"/>
        <w:ind w:left="-15" w:right="-12" w:firstLine="708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spacing w:lineRule="auto" w:line="240" w:before="0" w:after="0"/>
        <w:ind w:left="-15" w:firstLine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Данные таблицы свидетельствуют, что в текущем учебном году по сравнению с прошедшими общее количество участников уменьшилось. Причиной является распространение новой короновирусной инфекции  и ограничительный режим при проведении мероприятий. При этом процент победителей и призеров олимпиады всего на 1,2% отличается от предыдущего учебного года.</w:t>
      </w:r>
    </w:p>
    <w:p>
      <w:pPr>
        <w:pStyle w:val="Normal"/>
        <w:spacing w:lineRule="auto" w:line="240" w:before="0" w:after="0"/>
        <w:ind w:left="718" w:right="-2" w:hanging="718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2" w:hanging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Таблица 3. Количество участников, победителей и призеров школьного этапа ВсОШ в разрезе предметов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2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</w:rPr>
      </w:r>
    </w:p>
    <w:tbl>
      <w:tblPr>
        <w:tblW w:w="1486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0"/>
        <w:gridCol w:w="3345"/>
        <w:gridCol w:w="2121"/>
        <w:gridCol w:w="2122"/>
        <w:gridCol w:w="2122"/>
        <w:gridCol w:w="2122"/>
        <w:gridCol w:w="2127"/>
      </w:tblGrid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Кол-во победителей  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Кол-во  призеров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% победителей и призеров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27,8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МХК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right="-2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2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-2" w:hanging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Таблица 4. Количество участников, победителей и призеров муниципального этапа ВсОШ в разрезе предметов </w:t>
      </w:r>
    </w:p>
    <w:p>
      <w:pPr>
        <w:pStyle w:val="Normal"/>
        <w:tabs>
          <w:tab w:val="left" w:pos="12474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tbl>
      <w:tblPr>
        <w:tblW w:w="14860" w:type="dxa"/>
        <w:jc w:val="left"/>
        <w:tblInd w:w="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00"/>
        <w:gridCol w:w="2960"/>
        <w:gridCol w:w="3161"/>
        <w:gridCol w:w="2899"/>
        <w:gridCol w:w="2840"/>
      </w:tblGrid>
      <w:tr>
        <w:trPr>
          <w:trHeight w:val="398" w:hRule="atLeast"/>
        </w:trPr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18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Муниципальный этап</w:t>
            </w:r>
          </w:p>
        </w:tc>
      </w:tr>
      <w:tr>
        <w:trPr>
          <w:trHeight w:val="742" w:hRule="atLeast"/>
        </w:trPr>
        <w:tc>
          <w:tcPr>
            <w:tcW w:w="30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Фактическое кол-во участников 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Общее кол-во</w:t>
              <w:br/>
              <w:t>победителей и призеров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Кол-во победителей</w:t>
              <w:br/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Кол-во </w:t>
              <w:br/>
              <w:t xml:space="preserve">призеров 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 (40%)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 (50%)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 (22%)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 (73%)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 (50%)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 (25%)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 (44%)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33 (45%)</w:t>
            </w:r>
          </w:p>
        </w:tc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Анализ 3 и 4 таблиц показывает, что в связи с эпидемиологической обстановкой только 52,9%  (73 из 138) победителей и призеров школьного этапа приняли участие в муниципальном этапе ВсОШ.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Количественный анализ показателей по победителям и призерам ШЭ и МЭ показал низкие результаты выполнения участниками олимпиадных заданий по предметам в целом. Только 35,5% участников школьного этапа (138 от 389) перешагнули 50% барьер выполненных заданий, а значит, в среднем 64,5% участников выполнили менее половины заданий олимпиадной работы. Анализ  данных показателей по муниципальному этапу указывает также  на невысокие результаты: только 45% участников (33 из 73) выполнили более половины заданий олимпиады. По английскому языку, истории, географии, экономике, физике, химии, МХК нет призовых мест.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В соответствии с установленным количеством баллов по каждому общеобразовательному предмету и классу, необходимым для участия на региональном этапе всероссийской олимпиады школьников на территории области в 2020/2021 учебном году на региональном этапе по ОБЖ приняли участие 2 человека.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keepNext/>
        <w:keepLines/>
        <w:widowControl/>
        <w:numPr>
          <w:ilvl w:val="0"/>
          <w:numId w:val="0"/>
        </w:numPr>
        <w:bidi w:val="0"/>
        <w:spacing w:lineRule="auto" w:line="240" w:before="0" w:after="0"/>
        <w:ind w:right="-2" w:hanging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Таблица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частник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регионального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этапа ВсОШ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2021 года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W w:w="14740" w:type="dxa"/>
        <w:jc w:val="left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919"/>
        <w:gridCol w:w="2040"/>
        <w:gridCol w:w="4479"/>
        <w:gridCol w:w="4301"/>
      </w:tblGrid>
      <w:tr>
        <w:trPr/>
        <w:tc>
          <w:tcPr>
            <w:tcW w:w="3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ФИО участника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баллов по результатам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муниципального этапа</w:t>
            </w:r>
          </w:p>
        </w:tc>
        <w:tc>
          <w:tcPr>
            <w:tcW w:w="4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 руководителя</w:t>
            </w:r>
          </w:p>
        </w:tc>
      </w:tr>
      <w:tr>
        <w:trPr/>
        <w:tc>
          <w:tcPr>
            <w:tcW w:w="3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Кузнецов Олег Романович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 «А» </w:t>
            </w: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256 баллов</w:t>
            </w:r>
          </w:p>
        </w:tc>
        <w:tc>
          <w:tcPr>
            <w:tcW w:w="4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Кузьмин Игорь Александрович</w:t>
            </w:r>
          </w:p>
        </w:tc>
      </w:tr>
      <w:tr>
        <w:trPr/>
        <w:tc>
          <w:tcPr>
            <w:tcW w:w="3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Четвериков Артем Юрьевич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 «А» </w:t>
            </w:r>
          </w:p>
        </w:tc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260 баллов</w:t>
            </w:r>
          </w:p>
        </w:tc>
        <w:tc>
          <w:tcPr>
            <w:tcW w:w="4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Кузьмин Игорь Александрович</w:t>
            </w:r>
          </w:p>
        </w:tc>
      </w:tr>
    </w:tbl>
    <w:p>
      <w:pPr>
        <w:pStyle w:val="Normal"/>
        <w:tabs>
          <w:tab w:val="left" w:pos="1247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ListParagraph"/>
        <w:tabs>
          <w:tab w:val="left" w:pos="74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Результативность по сравнению с предыдущими годами снизилась, участников регионального этапа всероссийской олимпиады школьников стало меньше. В предыдущем 2019-2020 учебном году в региональном этапе приняли участие 10 человек по четырем общеобразовательным предметам: русскому языку, истории, обществознанию и праву.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Проведение анализа результатов Всероссийской олимпиады школьников на муниципальном этапе показал, что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Высок процент обучающихся, не преодолевших 50% порог. Многие обучающиеся принимали участие в олимпиадах по нескольким предметам разной направленности. По двум предметам принимали участие37 человек, по трем — 34 человека, по четырем — 13 человек, по пяти — 10  человек, по шести — 2 человека, остальные 96 человек — по одному общеобразовательному предмету. Участие в большим количестве олимпиад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>
      <w:pPr>
        <w:pStyle w:val="Normal"/>
        <w:spacing w:lineRule="auto" w:line="240" w:before="0" w:after="0"/>
        <w:ind w:left="708" w:right="2777" w:hanging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z w:val="28"/>
          <w:szCs w:val="28"/>
        </w:rPr>
        <w:t>Рекомендации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708" w:right="2777" w:hanging="0"/>
        <w:jc w:val="both"/>
        <w:rPr>
          <w:rFonts w:ascii="Times New Roman" w:hAnsi="Times New Roman"/>
          <w:b w:val="false"/>
          <w:b w:val="false"/>
          <w:bCs w:val="false"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1. Руководителям предметных кафедр: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и муниципальном этапах ВсОШ по учебным предметам;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 учащихся в различных этапах предметных олимпиад;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сформировать банк материалов предметных олимпиад школьного и муниципального уровня;  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>
      <w:pPr>
        <w:pStyle w:val="Normal"/>
        <w:spacing w:lineRule="auto" w:line="240" w:before="0" w:after="0"/>
        <w:ind w:left="703" w:hanging="10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 xml:space="preserve">2. Учителям-предметникам: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при подготовке к различным этапам </w:t>
      </w:r>
      <w:bookmarkStart w:id="1" w:name="__DdeLink__18929_1688667235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ВсОШ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использовать возможности интернет-ресурсов, цифровых технологий и других доступных форм обучения;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ВсОШ, через урочную и внеурочную деятельность, самоподготовку обучающихся. </w:t>
      </w:r>
    </w:p>
    <w:p>
      <w:pPr>
        <w:pStyle w:val="Normal"/>
        <w:spacing w:lineRule="auto" w:line="240" w:before="0" w:after="0"/>
        <w:ind w:left="10" w:hanging="10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 xml:space="preserve">3. Классным руководителям:  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довести до сведения родителей (законных представителей) итоги  школьного и муниципального этапов Всероссийской олимпиады школьников. </w:t>
      </w:r>
    </w:p>
    <w:p>
      <w:pPr>
        <w:pStyle w:val="Normal"/>
        <w:spacing w:lineRule="auto" w:line="240" w:before="0" w:after="0"/>
        <w:ind w:left="703" w:hanging="10"/>
        <w:rPr>
          <w:rFonts w:ascii="Times New Roman" w:hAnsi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</w:rPr>
        <w:t xml:space="preserve">4. Школьному координатору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single"/>
        </w:rPr>
        <w:t>ВсОШ: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bidi w:val="0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обеспечить контроль за качественной, системной подготовкой обучающихся к участию во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ВсОШ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по предметам в 2020- 2022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учебном году;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отслежива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участие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резу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льтат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ивность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участия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учителей-предметников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ВсОШ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в качестве наставников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left="693" w:right="1106" w:hanging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693" w:right="1106" w:hanging="708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15.03.2021</w:t>
      </w:r>
    </w:p>
    <w:p>
      <w:pPr>
        <w:pStyle w:val="Normal"/>
        <w:spacing w:lineRule="auto" w:line="240" w:before="0" w:after="0"/>
        <w:ind w:left="693" w:right="1106" w:hanging="708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693" w:right="1106" w:hanging="708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Заместитель директора по учебной работе, школьный координатор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ВсОШ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И.В.Матыкина</w:t>
      </w:r>
    </w:p>
    <w:sectPr>
      <w:type w:val="nextPage"/>
      <w:pgSz w:orient="landscape" w:w="16838" w:h="11906"/>
      <w:pgMar w:left="1134" w:right="850" w:header="0" w:top="1134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rFonts w:cs="Times New Roman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bCs w:val="false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cs="Symbol" w:hint="default"/>
        <w:sz w:val="28"/>
        <w:b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70"/>
        </w:tabs>
        <w:ind w:left="107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  <w:b w:val="false"/>
        <w:bCs w:val="false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  <w:b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bCs w:val="false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  <w:bCs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false"/>
        <w:bCs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false"/>
        <w:bCs w:val="false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08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4"/>
    <w:qFormat/>
    <w:rsid w:val="005e2d37"/>
    <w:rPr>
      <w:rFonts w:ascii="Courier New" w:hAnsi="Courier New" w:eastAsia="Times New Roman" w:cs="Courier New"/>
      <w:sz w:val="20"/>
      <w:szCs w:val="20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6"/>
      <w:sz w:val="36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6"/>
      <w:sz w:val="36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36"/>
      <w:sz w:val="36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 списка"/>
    <w:qFormat/>
    <w:rPr>
      <w:rFonts w:ascii="OpenSymbol" w:hAnsi="OpenSymbol" w:eastAsia="OpenSymbol" w:cs="OpenSymbol"/>
      <w:b w:val="false"/>
      <w:bCs w:val="false"/>
    </w:rPr>
  </w:style>
  <w:style w:type="character" w:styleId="ListLabel37">
    <w:name w:val="ListLabel 37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ascii="Times New Roman" w:hAnsi="Times New Roman" w:cs="OpenSymbol"/>
      <w:b w:val="false"/>
      <w:bCs w:val="false"/>
      <w:sz w:val="28"/>
    </w:rPr>
  </w:style>
  <w:style w:type="character" w:styleId="ListLabel47">
    <w:name w:val="ListLabel 47"/>
    <w:qFormat/>
    <w:rPr>
      <w:rFonts w:cs="OpenSymbol"/>
      <w:b w:val="false"/>
      <w:bCs w:val="false"/>
    </w:rPr>
  </w:style>
  <w:style w:type="character" w:styleId="ListLabel48">
    <w:name w:val="ListLabel 48"/>
    <w:qFormat/>
    <w:rPr>
      <w:rFonts w:cs="OpenSymbol"/>
      <w:b w:val="false"/>
      <w:bCs w:val="false"/>
    </w:rPr>
  </w:style>
  <w:style w:type="character" w:styleId="ListLabel49">
    <w:name w:val="ListLabel 49"/>
    <w:qFormat/>
    <w:rPr>
      <w:rFonts w:cs="OpenSymbol"/>
      <w:b w:val="false"/>
      <w:bCs w:val="false"/>
    </w:rPr>
  </w:style>
  <w:style w:type="character" w:styleId="ListLabel50">
    <w:name w:val="ListLabel 50"/>
    <w:qFormat/>
    <w:rPr>
      <w:rFonts w:cs="OpenSymbol"/>
      <w:b w:val="false"/>
      <w:bCs w:val="false"/>
    </w:rPr>
  </w:style>
  <w:style w:type="character" w:styleId="ListLabel51">
    <w:name w:val="ListLabel 51"/>
    <w:qFormat/>
    <w:rPr>
      <w:rFonts w:cs="OpenSymbol"/>
      <w:b w:val="false"/>
      <w:bCs w:val="false"/>
    </w:rPr>
  </w:style>
  <w:style w:type="character" w:styleId="ListLabel52">
    <w:name w:val="ListLabel 52"/>
    <w:qFormat/>
    <w:rPr>
      <w:rFonts w:cs="OpenSymbol"/>
      <w:b w:val="false"/>
      <w:bCs w:val="false"/>
    </w:rPr>
  </w:style>
  <w:style w:type="character" w:styleId="ListLabel53">
    <w:name w:val="ListLabel 53"/>
    <w:qFormat/>
    <w:rPr>
      <w:rFonts w:cs="OpenSymbol"/>
      <w:b w:val="false"/>
      <w:bCs w:val="false"/>
    </w:rPr>
  </w:style>
  <w:style w:type="character" w:styleId="ListLabel54">
    <w:name w:val="ListLabel 54"/>
    <w:qFormat/>
    <w:rPr>
      <w:rFonts w:cs="OpenSymbol"/>
      <w:b w:val="false"/>
      <w:bCs w:val="false"/>
    </w:rPr>
  </w:style>
  <w:style w:type="character" w:styleId="ListLabel55">
    <w:name w:val="ListLabel 55"/>
    <w:qFormat/>
    <w:rPr>
      <w:rFonts w:ascii="Times New Roman" w:hAnsi="Times New Roman" w:cs="OpenSymbol"/>
      <w:b w:val="false"/>
      <w:bCs w:val="false"/>
      <w:sz w:val="28"/>
    </w:rPr>
  </w:style>
  <w:style w:type="character" w:styleId="ListLabel56">
    <w:name w:val="ListLabel 56"/>
    <w:qFormat/>
    <w:rPr>
      <w:rFonts w:cs="OpenSymbol"/>
      <w:b w:val="false"/>
      <w:bCs w:val="false"/>
    </w:rPr>
  </w:style>
  <w:style w:type="character" w:styleId="ListLabel57">
    <w:name w:val="ListLabel 57"/>
    <w:qFormat/>
    <w:rPr>
      <w:rFonts w:cs="OpenSymbol"/>
      <w:b w:val="false"/>
      <w:bCs w:val="false"/>
    </w:rPr>
  </w:style>
  <w:style w:type="character" w:styleId="ListLabel58">
    <w:name w:val="ListLabel 58"/>
    <w:qFormat/>
    <w:rPr>
      <w:rFonts w:cs="OpenSymbol"/>
      <w:b w:val="false"/>
      <w:bCs w:val="false"/>
    </w:rPr>
  </w:style>
  <w:style w:type="character" w:styleId="ListLabel59">
    <w:name w:val="ListLabel 59"/>
    <w:qFormat/>
    <w:rPr>
      <w:rFonts w:cs="OpenSymbol"/>
      <w:b w:val="false"/>
      <w:bCs w:val="false"/>
    </w:rPr>
  </w:style>
  <w:style w:type="character" w:styleId="ListLabel60">
    <w:name w:val="ListLabel 60"/>
    <w:qFormat/>
    <w:rPr>
      <w:rFonts w:cs="OpenSymbol"/>
      <w:b w:val="false"/>
      <w:bCs w:val="false"/>
    </w:rPr>
  </w:style>
  <w:style w:type="character" w:styleId="ListLabel61">
    <w:name w:val="ListLabel 61"/>
    <w:qFormat/>
    <w:rPr>
      <w:rFonts w:cs="OpenSymbol"/>
      <w:b w:val="false"/>
      <w:bCs w:val="false"/>
    </w:rPr>
  </w:style>
  <w:style w:type="character" w:styleId="ListLabel62">
    <w:name w:val="ListLabel 62"/>
    <w:qFormat/>
    <w:rPr>
      <w:rFonts w:cs="OpenSymbol"/>
      <w:b w:val="false"/>
      <w:bCs w:val="false"/>
    </w:rPr>
  </w:style>
  <w:style w:type="character" w:styleId="ListLabel63">
    <w:name w:val="ListLabel 63"/>
    <w:qFormat/>
    <w:rPr>
      <w:rFonts w:cs="OpenSymbol"/>
      <w:b w:val="false"/>
      <w:bCs w:val="false"/>
    </w:rPr>
  </w:style>
  <w:style w:type="character" w:styleId="ListLabel64">
    <w:name w:val="ListLabel 64"/>
    <w:qFormat/>
    <w:rPr>
      <w:rFonts w:ascii="Times New Roman" w:hAnsi="Times New Roman" w:cs="OpenSymbol"/>
      <w:b w:val="false"/>
      <w:bCs w:val="false"/>
      <w:sz w:val="36"/>
    </w:rPr>
  </w:style>
  <w:style w:type="character" w:styleId="ListLabel65">
    <w:name w:val="ListLabel 65"/>
    <w:qFormat/>
    <w:rPr>
      <w:rFonts w:cs="OpenSymbol"/>
      <w:b w:val="false"/>
      <w:bCs w:val="false"/>
    </w:rPr>
  </w:style>
  <w:style w:type="character" w:styleId="ListLabel66">
    <w:name w:val="ListLabel 66"/>
    <w:qFormat/>
    <w:rPr>
      <w:rFonts w:cs="OpenSymbol"/>
      <w:b w:val="false"/>
      <w:bCs w:val="false"/>
    </w:rPr>
  </w:style>
  <w:style w:type="character" w:styleId="ListLabel67">
    <w:name w:val="ListLabel 67"/>
    <w:qFormat/>
    <w:rPr>
      <w:rFonts w:cs="OpenSymbol"/>
      <w:b w:val="false"/>
      <w:bCs w:val="false"/>
    </w:rPr>
  </w:style>
  <w:style w:type="character" w:styleId="ListLabel68">
    <w:name w:val="ListLabel 68"/>
    <w:qFormat/>
    <w:rPr>
      <w:rFonts w:cs="OpenSymbol"/>
      <w:b w:val="false"/>
      <w:bCs w:val="false"/>
    </w:rPr>
  </w:style>
  <w:style w:type="character" w:styleId="ListLabel69">
    <w:name w:val="ListLabel 69"/>
    <w:qFormat/>
    <w:rPr>
      <w:rFonts w:cs="OpenSymbol"/>
      <w:b w:val="false"/>
      <w:bCs w:val="false"/>
    </w:rPr>
  </w:style>
  <w:style w:type="character" w:styleId="ListLabel70">
    <w:name w:val="ListLabel 70"/>
    <w:qFormat/>
    <w:rPr>
      <w:rFonts w:cs="OpenSymbol"/>
      <w:b w:val="false"/>
      <w:bCs w:val="false"/>
    </w:rPr>
  </w:style>
  <w:style w:type="character" w:styleId="ListLabel71">
    <w:name w:val="ListLabel 71"/>
    <w:qFormat/>
    <w:rPr>
      <w:rFonts w:cs="OpenSymbol"/>
      <w:b w:val="false"/>
      <w:bCs w:val="false"/>
    </w:rPr>
  </w:style>
  <w:style w:type="character" w:styleId="ListLabel72">
    <w:name w:val="ListLabel 72"/>
    <w:qFormat/>
    <w:rPr>
      <w:rFonts w:cs="OpenSymbol"/>
      <w:b w:val="false"/>
      <w:bCs w:val="fals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5"/>
    <w:unhideWhenUsed/>
    <w:qFormat/>
    <w:rsid w:val="005e2d37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b4942"/>
    <w:pPr>
      <w:spacing w:before="0" w:after="20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c7d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rsid w:val="00cc7d7c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7d7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Application>LibreOffice/5.2.0.4$Windows_x86 LibreOffice_project/066b007f5ebcc236395c7d282ba488bca6720265</Application>
  <Pages>7</Pages>
  <Words>1588</Words>
  <Characters>9522</Characters>
  <CharactersWithSpaces>10823</CharactersWithSpaces>
  <Paragraphs>456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2020-12-11T00:27:00Z</dcterms:created>
  <dc:creator>Кадрия</dc:creator>
  <dc:description/>
  <dc:language>ru-RU</dc:language>
  <cp:lastModifiedBy/>
  <dcterms:modified xsi:type="dcterms:W3CDTF">2021-03-17T17:01:06Z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